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A1240" w14:textId="77777777" w:rsidR="00293579" w:rsidRPr="00037CE9" w:rsidRDefault="00293579" w:rsidP="00293579">
      <w:pPr>
        <w:ind w:firstLine="708"/>
        <w:jc w:val="right"/>
        <w:rPr>
          <w:rFonts w:ascii="Times New Roman" w:hAnsi="Times New Roman" w:cs="Times New Roman"/>
          <w:sz w:val="26"/>
          <w:szCs w:val="26"/>
          <w:lang w:val="ro-MD"/>
        </w:rPr>
      </w:pPr>
      <w:r w:rsidRPr="00037CE9">
        <w:rPr>
          <w:rFonts w:ascii="Times New Roman" w:hAnsi="Times New Roman" w:cs="Times New Roman"/>
          <w:sz w:val="26"/>
          <w:szCs w:val="26"/>
          <w:lang w:val="ro-MD"/>
        </w:rPr>
        <w:t>Anexa nr. 1</w:t>
      </w:r>
    </w:p>
    <w:p w14:paraId="2FCB1BFC" w14:textId="77777777" w:rsidR="00293579" w:rsidRPr="00037CE9" w:rsidRDefault="00293579" w:rsidP="00037C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037CE9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CONDIȚIILE DE CONTRACTARE </w:t>
      </w:r>
    </w:p>
    <w:p w14:paraId="1B8202AD" w14:textId="1CAC4A1D" w:rsidR="00293579" w:rsidRPr="00037CE9" w:rsidRDefault="00293579" w:rsidP="00037C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037CE9">
        <w:rPr>
          <w:rFonts w:ascii="Times New Roman" w:hAnsi="Times New Roman" w:cs="Times New Roman"/>
          <w:b/>
          <w:bCs/>
          <w:sz w:val="26"/>
          <w:szCs w:val="26"/>
          <w:lang w:val="ro-MD"/>
        </w:rPr>
        <w:t>ȘI DESCRIEREA BUNURILOR</w:t>
      </w:r>
    </w:p>
    <w:p w14:paraId="65AD77D8" w14:textId="77777777" w:rsidR="00293579" w:rsidRPr="00037CE9" w:rsidRDefault="00293579" w:rsidP="00037C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037CE9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Date generale: </w:t>
      </w:r>
    </w:p>
    <w:p w14:paraId="4ADB80DF" w14:textId="03941009" w:rsidR="00293579" w:rsidRPr="00037CE9" w:rsidRDefault="00293579" w:rsidP="00037C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037CE9">
        <w:rPr>
          <w:rFonts w:ascii="Times New Roman" w:hAnsi="Times New Roman" w:cs="Times New Roman"/>
          <w:sz w:val="26"/>
          <w:szCs w:val="26"/>
          <w:lang w:val="ro-MD"/>
        </w:rPr>
        <w:t>-</w:t>
      </w:r>
      <w:r w:rsidR="005A6B7A" w:rsidRPr="00037CE9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037CE9">
        <w:rPr>
          <w:rFonts w:ascii="Times New Roman" w:hAnsi="Times New Roman" w:cs="Times New Roman"/>
          <w:sz w:val="26"/>
          <w:szCs w:val="26"/>
          <w:lang w:val="ro-MD"/>
        </w:rPr>
        <w:t xml:space="preserve">Se </w:t>
      </w:r>
      <w:r w:rsidR="009E0B18" w:rsidRPr="00037CE9">
        <w:rPr>
          <w:rFonts w:ascii="Times New Roman" w:hAnsi="Times New Roman" w:cs="Times New Roman"/>
          <w:sz w:val="26"/>
          <w:szCs w:val="26"/>
          <w:lang w:val="ro-MD"/>
        </w:rPr>
        <w:t>expune spre vânzare metalul uzat feros și neferos;</w:t>
      </w:r>
    </w:p>
    <w:p w14:paraId="61EBB7F6" w14:textId="31E43832" w:rsidR="00293579" w:rsidRPr="00037CE9" w:rsidRDefault="00293579" w:rsidP="00037C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037CE9">
        <w:rPr>
          <w:rFonts w:ascii="Times New Roman" w:hAnsi="Times New Roman" w:cs="Times New Roman"/>
          <w:sz w:val="26"/>
          <w:szCs w:val="26"/>
          <w:lang w:val="ro-MD"/>
        </w:rPr>
        <w:t>-</w:t>
      </w:r>
      <w:r w:rsidR="005A6B7A" w:rsidRPr="00037CE9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037CE9">
        <w:rPr>
          <w:rFonts w:ascii="Times New Roman" w:hAnsi="Times New Roman" w:cs="Times New Roman"/>
          <w:sz w:val="26"/>
          <w:szCs w:val="26"/>
          <w:lang w:val="ro-MD"/>
        </w:rPr>
        <w:t>Criteriul de adjudecare</w:t>
      </w:r>
      <w:r w:rsidR="00D22455">
        <w:rPr>
          <w:rFonts w:ascii="Times New Roman" w:hAnsi="Times New Roman" w:cs="Times New Roman"/>
          <w:sz w:val="26"/>
          <w:szCs w:val="26"/>
          <w:lang w:val="ro-MD"/>
        </w:rPr>
        <w:t>:</w:t>
      </w:r>
      <w:r w:rsidRPr="00037CE9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D22455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cel mai mare preț oferit per </w:t>
      </w:r>
      <w:r w:rsidR="009E0B18" w:rsidRPr="00D22455">
        <w:rPr>
          <w:rFonts w:ascii="Times New Roman" w:hAnsi="Times New Roman" w:cs="Times New Roman"/>
          <w:b/>
          <w:bCs/>
          <w:sz w:val="26"/>
          <w:szCs w:val="26"/>
          <w:lang w:val="ro-MD"/>
        </w:rPr>
        <w:t>kg.</w:t>
      </w:r>
    </w:p>
    <w:p w14:paraId="2AFD471D" w14:textId="63DE7803" w:rsidR="00293579" w:rsidRPr="00D22455" w:rsidRDefault="00293579" w:rsidP="00037C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037CE9">
        <w:rPr>
          <w:rFonts w:ascii="Times New Roman" w:hAnsi="Times New Roman" w:cs="Times New Roman"/>
          <w:sz w:val="26"/>
          <w:szCs w:val="26"/>
          <w:lang w:val="ro-MD"/>
        </w:rPr>
        <w:t>-</w:t>
      </w:r>
      <w:r w:rsidR="005A6B7A" w:rsidRPr="00037CE9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037CE9">
        <w:rPr>
          <w:rFonts w:ascii="Times New Roman" w:hAnsi="Times New Roman" w:cs="Times New Roman"/>
          <w:sz w:val="26"/>
          <w:szCs w:val="26"/>
          <w:lang w:val="ro-MD"/>
        </w:rPr>
        <w:t>Perioada de derulare a contractului</w:t>
      </w:r>
      <w:r w:rsidR="00D22455">
        <w:rPr>
          <w:rFonts w:ascii="Times New Roman" w:hAnsi="Times New Roman" w:cs="Times New Roman"/>
          <w:sz w:val="26"/>
          <w:szCs w:val="26"/>
          <w:lang w:val="ro-MD"/>
        </w:rPr>
        <w:t>:</w:t>
      </w:r>
      <w:r w:rsidRPr="00037CE9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D22455">
        <w:rPr>
          <w:rFonts w:ascii="Times New Roman" w:hAnsi="Times New Roman" w:cs="Times New Roman"/>
          <w:b/>
          <w:bCs/>
          <w:sz w:val="26"/>
          <w:szCs w:val="26"/>
          <w:lang w:val="ro-MD"/>
        </w:rPr>
        <w:t>până la îndeplinirea tuturor obligațiunilor conform contractului;</w:t>
      </w:r>
    </w:p>
    <w:p w14:paraId="519DE8D8" w14:textId="2E780EA2" w:rsidR="00293579" w:rsidRPr="00037CE9" w:rsidRDefault="00293579" w:rsidP="00037CE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037CE9">
        <w:rPr>
          <w:rFonts w:ascii="Times New Roman" w:hAnsi="Times New Roman" w:cs="Times New Roman"/>
          <w:sz w:val="26"/>
          <w:szCs w:val="26"/>
          <w:lang w:val="ro-MD"/>
        </w:rPr>
        <w:t xml:space="preserve">- Prețul va fi indicat în </w:t>
      </w:r>
      <w:r w:rsidRPr="00D22455">
        <w:rPr>
          <w:rFonts w:ascii="Times New Roman" w:hAnsi="Times New Roman" w:cs="Times New Roman"/>
          <w:b/>
          <w:bCs/>
          <w:sz w:val="26"/>
          <w:szCs w:val="26"/>
          <w:lang w:val="ro-MD"/>
        </w:rPr>
        <w:t>lei, inclusiv TVA</w:t>
      </w:r>
      <w:r w:rsidR="005C4563" w:rsidRPr="00D22455">
        <w:rPr>
          <w:rFonts w:ascii="Times New Roman" w:hAnsi="Times New Roman" w:cs="Times New Roman"/>
          <w:b/>
          <w:bCs/>
          <w:sz w:val="26"/>
          <w:szCs w:val="26"/>
          <w:lang w:val="ro-MD"/>
        </w:rPr>
        <w:t>;</w:t>
      </w:r>
    </w:p>
    <w:p w14:paraId="1A4A1866" w14:textId="68DD20B2" w:rsidR="00056729" w:rsidRPr="00037CE9" w:rsidRDefault="00056729" w:rsidP="00037CE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037CE9">
        <w:rPr>
          <w:rFonts w:ascii="Times New Roman" w:hAnsi="Times New Roman" w:cs="Times New Roman"/>
          <w:sz w:val="26"/>
          <w:szCs w:val="26"/>
          <w:lang w:val="ro-MD"/>
        </w:rPr>
        <w:t xml:space="preserve">- Prețul oferit per kg, </w:t>
      </w:r>
      <w:r w:rsidR="00D22455">
        <w:rPr>
          <w:rFonts w:ascii="Times New Roman" w:hAnsi="Times New Roman" w:cs="Times New Roman"/>
          <w:sz w:val="26"/>
          <w:szCs w:val="26"/>
          <w:u w:val="single"/>
          <w:lang w:val="ro-MD"/>
        </w:rPr>
        <w:t>nu va include</w:t>
      </w:r>
      <w:r w:rsidRPr="00037CE9">
        <w:rPr>
          <w:rFonts w:ascii="Times New Roman" w:hAnsi="Times New Roman" w:cs="Times New Roman"/>
          <w:sz w:val="26"/>
          <w:szCs w:val="26"/>
          <w:lang w:val="ro-MD"/>
        </w:rPr>
        <w:t xml:space="preserve"> servicii</w:t>
      </w:r>
      <w:r w:rsidR="00D22455">
        <w:rPr>
          <w:rFonts w:ascii="Times New Roman" w:hAnsi="Times New Roman" w:cs="Times New Roman"/>
          <w:sz w:val="26"/>
          <w:szCs w:val="26"/>
          <w:lang w:val="ro-MD"/>
        </w:rPr>
        <w:t>le</w:t>
      </w:r>
      <w:r w:rsidRPr="00037CE9">
        <w:rPr>
          <w:rFonts w:ascii="Times New Roman" w:hAnsi="Times New Roman" w:cs="Times New Roman"/>
          <w:sz w:val="26"/>
          <w:szCs w:val="26"/>
          <w:lang w:val="ro-MD"/>
        </w:rPr>
        <w:t xml:space="preserve"> de tăiere, încărcare, transportare a metalului uzat feros și neferos, care vor fi asigurate de către</w:t>
      </w:r>
      <w:r w:rsidR="00D22455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D22455">
        <w:rPr>
          <w:rFonts w:ascii="Times New Roman" w:hAnsi="Times New Roman" w:cs="Times New Roman"/>
          <w:b/>
          <w:bCs/>
          <w:sz w:val="26"/>
          <w:szCs w:val="26"/>
          <w:lang w:val="ro-MD"/>
        </w:rPr>
        <w:t>Vânzător.</w:t>
      </w:r>
      <w:r w:rsidRPr="00037CE9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</w:p>
    <w:p w14:paraId="72330734" w14:textId="77777777" w:rsidR="00293579" w:rsidRPr="00037CE9" w:rsidRDefault="00293579" w:rsidP="00037C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037CE9">
        <w:rPr>
          <w:rFonts w:ascii="Times New Roman" w:hAnsi="Times New Roman" w:cs="Times New Roman"/>
          <w:b/>
          <w:bCs/>
          <w:sz w:val="26"/>
          <w:szCs w:val="26"/>
          <w:lang w:val="ro-MD"/>
        </w:rPr>
        <w:t>Condiții de contractare:</w:t>
      </w:r>
    </w:p>
    <w:p w14:paraId="4D7195F8" w14:textId="5B519891" w:rsidR="00337E58" w:rsidRPr="00037CE9" w:rsidRDefault="00293579" w:rsidP="00037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037CE9">
        <w:rPr>
          <w:rFonts w:ascii="Times New Roman" w:hAnsi="Times New Roman" w:cs="Times New Roman"/>
          <w:sz w:val="26"/>
          <w:szCs w:val="26"/>
          <w:lang w:val="ro-MD"/>
        </w:rPr>
        <w:t>Participan</w:t>
      </w:r>
      <w:r w:rsidR="003A3E9E" w:rsidRPr="00037CE9">
        <w:rPr>
          <w:rFonts w:ascii="Times New Roman" w:hAnsi="Times New Roman" w:cs="Times New Roman"/>
          <w:sz w:val="26"/>
          <w:szCs w:val="26"/>
          <w:lang w:val="ro-MD"/>
        </w:rPr>
        <w:t>tul</w:t>
      </w:r>
      <w:r w:rsidRPr="00037CE9">
        <w:rPr>
          <w:rFonts w:ascii="Times New Roman" w:hAnsi="Times New Roman" w:cs="Times New Roman"/>
          <w:sz w:val="26"/>
          <w:szCs w:val="26"/>
          <w:lang w:val="ro-MD"/>
        </w:rPr>
        <w:t>, ofert</w:t>
      </w:r>
      <w:r w:rsidR="003A3E9E" w:rsidRPr="00037CE9">
        <w:rPr>
          <w:rFonts w:ascii="Times New Roman" w:hAnsi="Times New Roman" w:cs="Times New Roman"/>
          <w:sz w:val="26"/>
          <w:szCs w:val="26"/>
          <w:lang w:val="ro-MD"/>
        </w:rPr>
        <w:t>a</w:t>
      </w:r>
      <w:r w:rsidRPr="00037CE9">
        <w:rPr>
          <w:rFonts w:ascii="Times New Roman" w:hAnsi="Times New Roman" w:cs="Times New Roman"/>
          <w:sz w:val="26"/>
          <w:szCs w:val="26"/>
          <w:lang w:val="ro-MD"/>
        </w:rPr>
        <w:t xml:space="preserve"> căr</w:t>
      </w:r>
      <w:r w:rsidR="003A3E9E" w:rsidRPr="00037CE9">
        <w:rPr>
          <w:rFonts w:ascii="Times New Roman" w:hAnsi="Times New Roman" w:cs="Times New Roman"/>
          <w:sz w:val="26"/>
          <w:szCs w:val="26"/>
          <w:lang w:val="ro-MD"/>
        </w:rPr>
        <w:t>uia</w:t>
      </w:r>
      <w:r w:rsidRPr="00037CE9">
        <w:rPr>
          <w:rFonts w:ascii="Times New Roman" w:hAnsi="Times New Roman" w:cs="Times New Roman"/>
          <w:sz w:val="26"/>
          <w:szCs w:val="26"/>
          <w:lang w:val="ro-MD"/>
        </w:rPr>
        <w:t xml:space="preserve"> v</w:t>
      </w:r>
      <w:r w:rsidR="003A3E9E" w:rsidRPr="00037CE9">
        <w:rPr>
          <w:rFonts w:ascii="Times New Roman" w:hAnsi="Times New Roman" w:cs="Times New Roman"/>
          <w:sz w:val="26"/>
          <w:szCs w:val="26"/>
          <w:lang w:val="ro-MD"/>
        </w:rPr>
        <w:t>a</w:t>
      </w:r>
      <w:r w:rsidRPr="00037CE9">
        <w:rPr>
          <w:rFonts w:ascii="Times New Roman" w:hAnsi="Times New Roman" w:cs="Times New Roman"/>
          <w:sz w:val="26"/>
          <w:szCs w:val="26"/>
          <w:lang w:val="ro-MD"/>
        </w:rPr>
        <w:t xml:space="preserve"> fi adjudecat</w:t>
      </w:r>
      <w:r w:rsidR="003A3E9E" w:rsidRPr="00037CE9">
        <w:rPr>
          <w:rFonts w:ascii="Times New Roman" w:hAnsi="Times New Roman" w:cs="Times New Roman"/>
          <w:sz w:val="26"/>
          <w:szCs w:val="26"/>
          <w:lang w:val="ro-MD"/>
        </w:rPr>
        <w:t>ă</w:t>
      </w:r>
      <w:r w:rsidRPr="00037CE9">
        <w:rPr>
          <w:rFonts w:ascii="Times New Roman" w:hAnsi="Times New Roman" w:cs="Times New Roman"/>
          <w:sz w:val="26"/>
          <w:szCs w:val="26"/>
          <w:lang w:val="ro-MD"/>
        </w:rPr>
        <w:t>, se obligă</w:t>
      </w:r>
      <w:r w:rsidR="005A6B7A" w:rsidRPr="00037CE9">
        <w:rPr>
          <w:rFonts w:ascii="Times New Roman" w:hAnsi="Times New Roman" w:cs="Times New Roman"/>
          <w:sz w:val="26"/>
          <w:szCs w:val="26"/>
          <w:lang w:val="ro-MD"/>
        </w:rPr>
        <w:t xml:space="preserve"> în termen de 5 zile calendaristice din data înștiințării, </w:t>
      </w:r>
      <w:r w:rsidRPr="00037CE9">
        <w:rPr>
          <w:rFonts w:ascii="Times New Roman" w:hAnsi="Times New Roman" w:cs="Times New Roman"/>
          <w:sz w:val="26"/>
          <w:szCs w:val="26"/>
          <w:lang w:val="ro-MD"/>
        </w:rPr>
        <w:t xml:space="preserve">să </w:t>
      </w:r>
      <w:r w:rsidR="005A6B7A" w:rsidRPr="00037CE9">
        <w:rPr>
          <w:rFonts w:ascii="Times New Roman" w:hAnsi="Times New Roman" w:cs="Times New Roman"/>
          <w:sz w:val="26"/>
          <w:szCs w:val="26"/>
          <w:lang w:val="ro-MD"/>
        </w:rPr>
        <w:t>prezinte spre examinare în adresa Î.S. „Moldelectrica”</w:t>
      </w:r>
      <w:r w:rsidR="00337E58" w:rsidRPr="00037CE9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5A6B7A" w:rsidRPr="00037CE9">
        <w:rPr>
          <w:rFonts w:ascii="Times New Roman" w:hAnsi="Times New Roman" w:cs="Times New Roman"/>
          <w:sz w:val="26"/>
          <w:szCs w:val="26"/>
          <w:lang w:val="ro-MD"/>
        </w:rPr>
        <w:t>model de contract</w:t>
      </w:r>
      <w:r w:rsidRPr="00037CE9">
        <w:rPr>
          <w:rFonts w:ascii="Times New Roman" w:hAnsi="Times New Roman" w:cs="Times New Roman"/>
          <w:sz w:val="26"/>
          <w:szCs w:val="26"/>
          <w:lang w:val="ro-MD"/>
        </w:rPr>
        <w:t xml:space="preserve">. </w:t>
      </w:r>
      <w:r w:rsidR="00337E58" w:rsidRPr="00037CE9">
        <w:rPr>
          <w:rFonts w:ascii="Times New Roman" w:hAnsi="Times New Roman" w:cs="Times New Roman"/>
          <w:sz w:val="26"/>
          <w:szCs w:val="26"/>
          <w:lang w:val="ro-MD"/>
        </w:rPr>
        <w:t>În contract urmează a fi incluse următoarele prevederi:</w:t>
      </w:r>
    </w:p>
    <w:p w14:paraId="3611B6DC" w14:textId="61582804" w:rsidR="00337E58" w:rsidRPr="00037CE9" w:rsidRDefault="00337E58" w:rsidP="00037CE9">
      <w:pPr>
        <w:pStyle w:val="List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037CE9">
        <w:rPr>
          <w:rFonts w:ascii="Times New Roman" w:hAnsi="Times New Roman" w:cs="Times New Roman"/>
          <w:sz w:val="26"/>
          <w:szCs w:val="26"/>
          <w:lang w:val="ro-MD"/>
        </w:rPr>
        <w:t>Prețul</w:t>
      </w:r>
      <w:r w:rsidR="005C4563" w:rsidRPr="00037CE9">
        <w:rPr>
          <w:rFonts w:ascii="Times New Roman" w:hAnsi="Times New Roman" w:cs="Times New Roman"/>
          <w:sz w:val="26"/>
          <w:szCs w:val="26"/>
          <w:lang w:val="ro-MD"/>
        </w:rPr>
        <w:t xml:space="preserve"> se va indica</w:t>
      </w:r>
      <w:r w:rsidRPr="00037CE9">
        <w:rPr>
          <w:rFonts w:ascii="Times New Roman" w:hAnsi="Times New Roman" w:cs="Times New Roman"/>
          <w:sz w:val="26"/>
          <w:szCs w:val="26"/>
          <w:lang w:val="ro-MD"/>
        </w:rPr>
        <w:t xml:space="preserve"> în lei, inclusiv TVA,  pentru 1 kg de metal feros și neferos</w:t>
      </w:r>
      <w:r w:rsidR="00D22455">
        <w:rPr>
          <w:rFonts w:ascii="Times New Roman" w:hAnsi="Times New Roman" w:cs="Times New Roman"/>
          <w:sz w:val="26"/>
          <w:szCs w:val="26"/>
          <w:lang w:val="ro-MD"/>
        </w:rPr>
        <w:t xml:space="preserve">, precum </w:t>
      </w:r>
      <w:r w:rsidR="003A3E9E" w:rsidRPr="00037CE9">
        <w:rPr>
          <w:rFonts w:ascii="Times New Roman" w:hAnsi="Times New Roman" w:cs="Times New Roman"/>
          <w:sz w:val="26"/>
          <w:szCs w:val="26"/>
          <w:lang w:val="ro-MD"/>
        </w:rPr>
        <w:t xml:space="preserve">și cantitățile </w:t>
      </w:r>
      <w:r w:rsidR="005C4563" w:rsidRPr="00037CE9">
        <w:rPr>
          <w:rFonts w:ascii="Times New Roman" w:hAnsi="Times New Roman" w:cs="Times New Roman"/>
          <w:sz w:val="26"/>
          <w:szCs w:val="26"/>
          <w:lang w:val="ro-MD"/>
        </w:rPr>
        <w:t>specificate</w:t>
      </w:r>
      <w:r w:rsidR="003A3E9E" w:rsidRPr="00037CE9">
        <w:rPr>
          <w:rFonts w:ascii="Times New Roman" w:hAnsi="Times New Roman" w:cs="Times New Roman"/>
          <w:sz w:val="26"/>
          <w:szCs w:val="26"/>
          <w:lang w:val="ro-MD"/>
        </w:rPr>
        <w:t xml:space="preserve"> în Descrierea bunurilor</w:t>
      </w:r>
      <w:r w:rsidRPr="00037CE9">
        <w:rPr>
          <w:rFonts w:ascii="Times New Roman" w:hAnsi="Times New Roman" w:cs="Times New Roman"/>
          <w:sz w:val="26"/>
          <w:szCs w:val="26"/>
          <w:lang w:val="ro-MD"/>
        </w:rPr>
        <w:t xml:space="preserve">; </w:t>
      </w:r>
    </w:p>
    <w:p w14:paraId="60A0E5F2" w14:textId="2D6667F3" w:rsidR="00337E58" w:rsidRPr="00037CE9" w:rsidRDefault="00337E58" w:rsidP="00037C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037CE9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Serviciile de tăiere, încărcare, transportare a metalului uzat feros și neferos, </w:t>
      </w:r>
      <w:r w:rsidR="003A3E9E" w:rsidRPr="00037CE9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vor fi</w:t>
      </w:r>
      <w:r w:rsidRPr="00037CE9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asigurate de către Vânzător; </w:t>
      </w:r>
    </w:p>
    <w:p w14:paraId="4CAEACCB" w14:textId="3778C9C1" w:rsidR="0048120B" w:rsidRPr="00037CE9" w:rsidRDefault="00D22455" w:rsidP="00037C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Prețurile rămân neschimbate pe întreaga perioadă de derulare a contractului;</w:t>
      </w:r>
    </w:p>
    <w:p w14:paraId="17A24E75" w14:textId="0766372F" w:rsidR="00337E58" w:rsidRPr="00037CE9" w:rsidRDefault="00337E58" w:rsidP="00037C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037CE9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Termen de plată</w:t>
      </w:r>
      <w:r w:rsidR="005C4563" w:rsidRPr="00037CE9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:</w:t>
      </w:r>
      <w:r w:rsidR="003A3E9E" w:rsidRPr="00037CE9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în avans, în termen de 10 zile bancare din data semnării contractului, pentru 80% din suma corespunzătoare cantității contractate, iar restul sumei, aferent cantității restante, se va plăti în termen de 10 zile bancare de la data emiterii facturii fiscale pentru suma restantă</w:t>
      </w:r>
      <w:r w:rsidRPr="00037CE9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;</w:t>
      </w:r>
    </w:p>
    <w:p w14:paraId="2E73C4C6" w14:textId="77777777" w:rsidR="00337E58" w:rsidRPr="00037CE9" w:rsidRDefault="00337E58" w:rsidP="00037C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037CE9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Marja de toleranță: în legătură cu specificul mărfii, se admit devieri cantitative de </w:t>
      </w:r>
      <w:r w:rsidRPr="00037CE9">
        <w:rPr>
          <w:rFonts w:ascii="Times New Roman" w:eastAsia="Times New Roman" w:hAnsi="Times New Roman" w:cs="Times New Roman"/>
          <w:sz w:val="26"/>
          <w:szCs w:val="26"/>
          <w:lang w:val="ro-RO"/>
        </w:rPr>
        <w:t>± 5% de la cele prevăzute în contract.</w:t>
      </w:r>
    </w:p>
    <w:p w14:paraId="2A50A6E3" w14:textId="0A9008F4" w:rsidR="00337E58" w:rsidRPr="00037CE9" w:rsidRDefault="00337E58" w:rsidP="00037C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037CE9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Termen de valabilitate al contractului</w:t>
      </w:r>
      <w:r w:rsidR="00D22455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: </w:t>
      </w:r>
      <w:r w:rsidRPr="00037CE9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până la îndeplinirea tuturor obligațiunilor conform contractului;</w:t>
      </w:r>
    </w:p>
    <w:p w14:paraId="2AA856EB" w14:textId="71612DAA" w:rsidR="00293579" w:rsidRPr="00037CE9" w:rsidRDefault="00293579" w:rsidP="00037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037CE9">
        <w:rPr>
          <w:rFonts w:ascii="Times New Roman" w:hAnsi="Times New Roman" w:cs="Times New Roman"/>
          <w:sz w:val="26"/>
          <w:szCs w:val="26"/>
          <w:lang w:val="ro-MD"/>
        </w:rPr>
        <w:t>Neprezentarea</w:t>
      </w:r>
      <w:r w:rsidR="00337E58" w:rsidRPr="00037CE9">
        <w:rPr>
          <w:rFonts w:ascii="Times New Roman" w:hAnsi="Times New Roman" w:cs="Times New Roman"/>
          <w:sz w:val="26"/>
          <w:szCs w:val="26"/>
          <w:lang w:val="ro-MD"/>
        </w:rPr>
        <w:t xml:space="preserve"> modelului de contract</w:t>
      </w:r>
      <w:r w:rsidRPr="00037CE9">
        <w:rPr>
          <w:rFonts w:ascii="Times New Roman" w:hAnsi="Times New Roman" w:cs="Times New Roman"/>
          <w:sz w:val="26"/>
          <w:szCs w:val="26"/>
          <w:lang w:val="ro-MD"/>
        </w:rPr>
        <w:t>, în termen de 5 zile</w:t>
      </w:r>
      <w:r w:rsidR="00337E58" w:rsidRPr="00037CE9">
        <w:rPr>
          <w:rFonts w:ascii="Times New Roman" w:hAnsi="Times New Roman" w:cs="Times New Roman"/>
          <w:sz w:val="26"/>
          <w:szCs w:val="26"/>
          <w:lang w:val="ro-MD"/>
        </w:rPr>
        <w:t xml:space="preserve"> calendaristice</w:t>
      </w:r>
      <w:r w:rsidRPr="00037CE9">
        <w:rPr>
          <w:rFonts w:ascii="Times New Roman" w:hAnsi="Times New Roman" w:cs="Times New Roman"/>
          <w:sz w:val="26"/>
          <w:szCs w:val="26"/>
          <w:lang w:val="ro-MD"/>
        </w:rPr>
        <w:t xml:space="preserve"> sau neachitarea </w:t>
      </w:r>
      <w:r w:rsidR="00056729" w:rsidRPr="00037CE9">
        <w:rPr>
          <w:rFonts w:ascii="Times New Roman" w:hAnsi="Times New Roman" w:cs="Times New Roman"/>
          <w:sz w:val="26"/>
          <w:szCs w:val="26"/>
          <w:lang w:val="ro-MD"/>
        </w:rPr>
        <w:t>avansului</w:t>
      </w:r>
      <w:r w:rsidRPr="00037CE9">
        <w:rPr>
          <w:rFonts w:ascii="Times New Roman" w:hAnsi="Times New Roman" w:cs="Times New Roman"/>
          <w:sz w:val="26"/>
          <w:szCs w:val="26"/>
          <w:lang w:val="ro-MD"/>
        </w:rPr>
        <w:t xml:space="preserve"> conform contractului, </w:t>
      </w:r>
      <w:r w:rsidR="00D22455">
        <w:rPr>
          <w:rFonts w:ascii="Times New Roman" w:hAnsi="Times New Roman" w:cs="Times New Roman"/>
          <w:sz w:val="26"/>
          <w:szCs w:val="26"/>
          <w:lang w:val="ro-MD"/>
        </w:rPr>
        <w:t>dă</w:t>
      </w:r>
      <w:r w:rsidRPr="00037CE9">
        <w:rPr>
          <w:rFonts w:ascii="Times New Roman" w:hAnsi="Times New Roman" w:cs="Times New Roman"/>
          <w:sz w:val="26"/>
          <w:szCs w:val="26"/>
          <w:lang w:val="ro-MD"/>
        </w:rPr>
        <w:t xml:space="preserve"> dreptul Î.S. „Moldelectrica” să respingă oferta/rezoluționeze contractul și să scoată în vânzare </w:t>
      </w:r>
      <w:r w:rsidR="000B4A5B" w:rsidRPr="00037CE9">
        <w:rPr>
          <w:rFonts w:ascii="Times New Roman" w:hAnsi="Times New Roman" w:cs="Times New Roman"/>
          <w:sz w:val="26"/>
          <w:szCs w:val="26"/>
          <w:lang w:val="ro-MD"/>
        </w:rPr>
        <w:t>metalul uzat feros și neferos</w:t>
      </w:r>
      <w:r w:rsidRPr="00037CE9">
        <w:rPr>
          <w:rFonts w:ascii="Times New Roman" w:hAnsi="Times New Roman" w:cs="Times New Roman"/>
          <w:sz w:val="26"/>
          <w:szCs w:val="26"/>
          <w:lang w:val="ro-MD"/>
        </w:rPr>
        <w:t>, într-o nouă etapă de vânzare sau să fie adjudecată următoarea</w:t>
      </w:r>
      <w:r w:rsidR="004D3D88" w:rsidRPr="00037CE9">
        <w:rPr>
          <w:rFonts w:ascii="Times New Roman" w:hAnsi="Times New Roman" w:cs="Times New Roman"/>
          <w:sz w:val="26"/>
          <w:szCs w:val="26"/>
          <w:lang w:val="ro-MD"/>
        </w:rPr>
        <w:t>,</w:t>
      </w:r>
      <w:r w:rsidRPr="00037CE9">
        <w:rPr>
          <w:rFonts w:ascii="Times New Roman" w:hAnsi="Times New Roman" w:cs="Times New Roman"/>
          <w:sz w:val="26"/>
          <w:szCs w:val="26"/>
          <w:lang w:val="ro-MD"/>
        </w:rPr>
        <w:t xml:space="preserve"> cea mai bună ofertă prezentată.</w:t>
      </w:r>
    </w:p>
    <w:p w14:paraId="4AEAC725" w14:textId="128D85D7" w:rsidR="004D3D88" w:rsidRDefault="00293579" w:rsidP="00037CE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  <w:r w:rsidRPr="00037CE9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Achitarea </w:t>
      </w:r>
      <w:r w:rsidR="003A3E9E" w:rsidRPr="00037CE9">
        <w:rPr>
          <w:rFonts w:ascii="Times New Roman" w:hAnsi="Times New Roman" w:cs="Times New Roman"/>
          <w:b/>
          <w:bCs/>
          <w:sz w:val="26"/>
          <w:szCs w:val="26"/>
          <w:lang w:val="ro-MD"/>
        </w:rPr>
        <w:t>avansului</w:t>
      </w:r>
      <w:r w:rsidRPr="00037CE9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pentru </w:t>
      </w:r>
      <w:r w:rsidR="000B4A5B" w:rsidRPr="00037CE9">
        <w:rPr>
          <w:rFonts w:ascii="Times New Roman" w:hAnsi="Times New Roman" w:cs="Times New Roman"/>
          <w:b/>
          <w:bCs/>
          <w:sz w:val="26"/>
          <w:szCs w:val="26"/>
          <w:lang w:val="ro-MD"/>
        </w:rPr>
        <w:t>metalul uzat feros și neferos</w:t>
      </w:r>
      <w:r w:rsidRPr="00037CE9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se efectuează prin transfer bancar, pe contul de decontare al Vânzătorului indicat în Contract, în termen de 1</w:t>
      </w:r>
      <w:r w:rsidR="003A3E9E" w:rsidRPr="00037CE9">
        <w:rPr>
          <w:rFonts w:ascii="Times New Roman" w:hAnsi="Times New Roman" w:cs="Times New Roman"/>
          <w:b/>
          <w:bCs/>
          <w:sz w:val="26"/>
          <w:szCs w:val="26"/>
          <w:lang w:val="ro-MD"/>
        </w:rPr>
        <w:t>0</w:t>
      </w:r>
      <w:r w:rsidRPr="00037CE9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zile bancare din data semnării contractului. </w:t>
      </w:r>
    </w:p>
    <w:p w14:paraId="5A54511C" w14:textId="77777777" w:rsidR="00037CE9" w:rsidRPr="00037CE9" w:rsidRDefault="00037CE9" w:rsidP="00037CE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lang w:val="ro-MD"/>
        </w:rPr>
      </w:pPr>
    </w:p>
    <w:p w14:paraId="515FB81A" w14:textId="6FB88E5D" w:rsidR="00293579" w:rsidRDefault="00293579" w:rsidP="00037C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ro-MD"/>
        </w:rPr>
      </w:pPr>
      <w:r w:rsidRPr="00037CE9">
        <w:rPr>
          <w:rFonts w:ascii="Times New Roman" w:hAnsi="Times New Roman" w:cs="Times New Roman"/>
          <w:b/>
          <w:bCs/>
          <w:sz w:val="26"/>
          <w:szCs w:val="26"/>
          <w:u w:val="single"/>
          <w:lang w:val="ro-MD"/>
        </w:rPr>
        <w:t>Descrierea Bunurilor</w:t>
      </w:r>
    </w:p>
    <w:p w14:paraId="163A74E8" w14:textId="77777777" w:rsidR="00037CE9" w:rsidRPr="00037CE9" w:rsidRDefault="00037CE9" w:rsidP="00037C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ro-MD"/>
        </w:rPr>
      </w:pPr>
    </w:p>
    <w:tbl>
      <w:tblPr>
        <w:tblStyle w:val="Tabelgril"/>
        <w:tblW w:w="9777" w:type="dxa"/>
        <w:tblInd w:w="-426" w:type="dxa"/>
        <w:tblLook w:val="04A0" w:firstRow="1" w:lastRow="0" w:firstColumn="1" w:lastColumn="0" w:noHBand="0" w:noVBand="1"/>
      </w:tblPr>
      <w:tblGrid>
        <w:gridCol w:w="582"/>
        <w:gridCol w:w="2533"/>
        <w:gridCol w:w="3543"/>
        <w:gridCol w:w="1560"/>
        <w:gridCol w:w="1559"/>
      </w:tblGrid>
      <w:tr w:rsidR="000B4A5B" w:rsidRPr="000B4A5B" w14:paraId="126D99E5" w14:textId="77777777" w:rsidTr="000B4A5B">
        <w:tc>
          <w:tcPr>
            <w:tcW w:w="582" w:type="dxa"/>
            <w:shd w:val="clear" w:color="auto" w:fill="D9D9D9" w:themeFill="background1" w:themeFillShade="D9"/>
          </w:tcPr>
          <w:p w14:paraId="602693D6" w14:textId="77777777" w:rsidR="000B4A5B" w:rsidRPr="000B4A5B" w:rsidRDefault="000B4A5B" w:rsidP="00037CE9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B4A5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2533" w:type="dxa"/>
            <w:shd w:val="clear" w:color="auto" w:fill="D9D9D9" w:themeFill="background1" w:themeFillShade="D9"/>
          </w:tcPr>
          <w:p w14:paraId="43026324" w14:textId="77777777" w:rsidR="000B4A5B" w:rsidRPr="000B4A5B" w:rsidRDefault="000B4A5B" w:rsidP="00037CE9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B4A5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Tip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4DA23338" w14:textId="77777777" w:rsidR="000B4A5B" w:rsidRPr="000B4A5B" w:rsidRDefault="000B4A5B" w:rsidP="00037CE9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B4A5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Locul dislocării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2AB4C7E" w14:textId="4E0B0F9F" w:rsidR="000B4A5B" w:rsidRPr="000B4A5B" w:rsidRDefault="000B4A5B" w:rsidP="00037CE9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Unitatea de măsură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293CEB2" w14:textId="5C389B51" w:rsidR="000B4A5B" w:rsidRPr="000B4A5B" w:rsidRDefault="000B4A5B" w:rsidP="00037CE9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B4A5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Cantitatea</w:t>
            </w:r>
          </w:p>
          <w:p w14:paraId="5B6D7D52" w14:textId="77777777" w:rsidR="000B4A5B" w:rsidRPr="000B4A5B" w:rsidRDefault="000B4A5B" w:rsidP="00037CE9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B4A5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totală</w:t>
            </w:r>
          </w:p>
        </w:tc>
      </w:tr>
      <w:tr w:rsidR="000B4A5B" w:rsidRPr="000B4A5B" w14:paraId="6532845D" w14:textId="77777777" w:rsidTr="00037CE9">
        <w:trPr>
          <w:trHeight w:val="575"/>
        </w:trPr>
        <w:tc>
          <w:tcPr>
            <w:tcW w:w="582" w:type="dxa"/>
          </w:tcPr>
          <w:p w14:paraId="11B59746" w14:textId="77777777" w:rsidR="000B4A5B" w:rsidRPr="000B4A5B" w:rsidRDefault="000B4A5B" w:rsidP="00037CE9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B4A5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2533" w:type="dxa"/>
          </w:tcPr>
          <w:p w14:paraId="7E790AEE" w14:textId="14CEE78B" w:rsidR="000B4A5B" w:rsidRPr="000B4A5B" w:rsidRDefault="000B4A5B" w:rsidP="00037CE9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0B4A5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Metal uzat negru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feros</w:t>
            </w:r>
          </w:p>
        </w:tc>
        <w:tc>
          <w:tcPr>
            <w:tcW w:w="3543" w:type="dxa"/>
          </w:tcPr>
          <w:p w14:paraId="04A536A3" w14:textId="3D2FDD81" w:rsidR="000B4A5B" w:rsidRPr="000B4A5B" w:rsidRDefault="00056729" w:rsidP="00037CE9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or. Dondușeni, str. Ștefan cel Mare, 30</w:t>
            </w:r>
          </w:p>
        </w:tc>
        <w:tc>
          <w:tcPr>
            <w:tcW w:w="1560" w:type="dxa"/>
          </w:tcPr>
          <w:p w14:paraId="6B30DFF0" w14:textId="1A214213" w:rsidR="000B4A5B" w:rsidRDefault="000B4A5B" w:rsidP="00037CE9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Kg</w:t>
            </w:r>
          </w:p>
        </w:tc>
        <w:tc>
          <w:tcPr>
            <w:tcW w:w="1559" w:type="dxa"/>
          </w:tcPr>
          <w:p w14:paraId="512DCD87" w14:textId="12970644" w:rsidR="000B4A5B" w:rsidRPr="000B4A5B" w:rsidRDefault="00056729" w:rsidP="00037CE9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34</w:t>
            </w:r>
            <w:r w:rsidR="0048120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000</w:t>
            </w:r>
            <w:r w:rsidR="0048120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,00</w:t>
            </w:r>
          </w:p>
        </w:tc>
      </w:tr>
      <w:tr w:rsidR="000B4A5B" w:rsidRPr="000B4A5B" w14:paraId="3592FC5A" w14:textId="77777777" w:rsidTr="00037CE9">
        <w:trPr>
          <w:trHeight w:val="447"/>
        </w:trPr>
        <w:tc>
          <w:tcPr>
            <w:tcW w:w="582" w:type="dxa"/>
          </w:tcPr>
          <w:p w14:paraId="6A77056B" w14:textId="25883FCD" w:rsidR="000B4A5B" w:rsidRPr="000B4A5B" w:rsidRDefault="000B4A5B" w:rsidP="00037CE9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2533" w:type="dxa"/>
          </w:tcPr>
          <w:p w14:paraId="7317CAB6" w14:textId="6BDA6ED4" w:rsidR="000B4A5B" w:rsidRPr="000B4A5B" w:rsidRDefault="000B4A5B" w:rsidP="00037CE9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Metal uza neferos </w:t>
            </w:r>
            <w:r w:rsidR="000567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05672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sârmă din aluminiu (curățată de firele din metal)</w:t>
            </w:r>
          </w:p>
        </w:tc>
        <w:tc>
          <w:tcPr>
            <w:tcW w:w="3543" w:type="dxa"/>
          </w:tcPr>
          <w:p w14:paraId="72C89715" w14:textId="5960C290" w:rsidR="000B4A5B" w:rsidRPr="000B4A5B" w:rsidRDefault="00056729" w:rsidP="00037CE9">
            <w:pPr>
              <w:pStyle w:val="Listparagraf"/>
              <w:ind w:left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or. Dondușeni, str. Ștefan cel Mare, 30</w:t>
            </w:r>
          </w:p>
        </w:tc>
        <w:tc>
          <w:tcPr>
            <w:tcW w:w="1560" w:type="dxa"/>
          </w:tcPr>
          <w:p w14:paraId="5BB1B339" w14:textId="230238A9" w:rsidR="000B4A5B" w:rsidRPr="000B4A5B" w:rsidRDefault="000B4A5B" w:rsidP="00037CE9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Kg</w:t>
            </w:r>
          </w:p>
        </w:tc>
        <w:tc>
          <w:tcPr>
            <w:tcW w:w="1559" w:type="dxa"/>
          </w:tcPr>
          <w:p w14:paraId="14590149" w14:textId="258EA19B" w:rsidR="000B4A5B" w:rsidRPr="000B4A5B" w:rsidRDefault="00037CE9" w:rsidP="00037CE9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2 200,00</w:t>
            </w:r>
          </w:p>
        </w:tc>
      </w:tr>
    </w:tbl>
    <w:p w14:paraId="3CB7A788" w14:textId="77777777" w:rsidR="0050237B" w:rsidRDefault="0050237B" w:rsidP="00037CE9">
      <w:pPr>
        <w:spacing w:line="240" w:lineRule="auto"/>
      </w:pPr>
    </w:p>
    <w:sectPr w:rsidR="0050237B" w:rsidSect="00037CE9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rvino Expanded">
    <w:panose1 w:val="00000505000000000000"/>
    <w:charset w:val="00"/>
    <w:family w:val="modern"/>
    <w:notTrueType/>
    <w:pitch w:val="variable"/>
    <w:sig w:usb0="00000207" w:usb1="00000011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67FDA"/>
    <w:multiLevelType w:val="hybridMultilevel"/>
    <w:tmpl w:val="4E4630A6"/>
    <w:lvl w:ilvl="0" w:tplc="94E0BF44">
      <w:numFmt w:val="bullet"/>
      <w:lvlText w:val="-"/>
      <w:lvlJc w:val="left"/>
      <w:pPr>
        <w:ind w:left="720" w:hanging="360"/>
      </w:pPr>
      <w:rPr>
        <w:rFonts w:ascii="Cervino Expanded" w:eastAsia="Times New Roman" w:hAnsi="Cervino Expanded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79"/>
    <w:rsid w:val="00037CE9"/>
    <w:rsid w:val="00056729"/>
    <w:rsid w:val="00057441"/>
    <w:rsid w:val="000B4A5B"/>
    <w:rsid w:val="000C36E8"/>
    <w:rsid w:val="00127929"/>
    <w:rsid w:val="00156282"/>
    <w:rsid w:val="00166890"/>
    <w:rsid w:val="001E53F5"/>
    <w:rsid w:val="00293579"/>
    <w:rsid w:val="0029461B"/>
    <w:rsid w:val="00337E58"/>
    <w:rsid w:val="003A3E9E"/>
    <w:rsid w:val="0048120B"/>
    <w:rsid w:val="004D3D88"/>
    <w:rsid w:val="0050237B"/>
    <w:rsid w:val="005A6B7A"/>
    <w:rsid w:val="005C4563"/>
    <w:rsid w:val="006717B6"/>
    <w:rsid w:val="00676E12"/>
    <w:rsid w:val="009E0B18"/>
    <w:rsid w:val="00CE248F"/>
    <w:rsid w:val="00D2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E1392B"/>
  <w15:chartTrackingRefBased/>
  <w15:docId w15:val="{1050C7DE-7E15-4272-8B5C-03D57027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7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93579"/>
    <w:pPr>
      <w:ind w:left="720"/>
      <w:contextualSpacing/>
    </w:pPr>
  </w:style>
  <w:style w:type="table" w:styleId="Tabelgril">
    <w:name w:val="Table Grid"/>
    <w:basedOn w:val="TabelNormal"/>
    <w:uiPriority w:val="39"/>
    <w:rsid w:val="00293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5A5D8-927F-4CFC-BA42-CC1AAE58C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Botnari Irina</dc:creator>
  <cp:keywords/>
  <dc:description/>
  <cp:lastModifiedBy>Botnari Irina</cp:lastModifiedBy>
  <cp:revision>7</cp:revision>
  <dcterms:created xsi:type="dcterms:W3CDTF">2025-11-18T08:28:00Z</dcterms:created>
  <dcterms:modified xsi:type="dcterms:W3CDTF">2025-11-18T09:55:00Z</dcterms:modified>
</cp:coreProperties>
</file>